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>
        <w:pStyle w:val="_Normal"/>
        <w:jc w:val="center"/>
      </w:pPr>
      <w:r>
        <w:rPr>
          <w:b/>
          <w:sz w:val="28"/>
          <w:color w:val="800000"/>
        </w:rPr>
        <w:t xml:space="preserve">L'Associazione Davide Lajolo, </w:t>
      </w:r>
    </w:p>
    <w:p>
      <w:pPr>
        <w:pStyle w:val="_Normal"/>
        <w:jc w:val="center"/>
      </w:pPr>
      <w:r>
        <w:rPr>
          <w:b/>
          <w:sz w:val="28"/>
          <w:color w:val="800000"/>
        </w:rPr>
        <w:t xml:space="preserve">il Movimento Stop al Consumo di Territorio Astigiano, </w:t>
      </w:r>
    </w:p>
    <w:p>
      <w:pPr>
        <w:pStyle w:val="_Normal"/>
        <w:jc w:val="center"/>
      </w:pPr>
      <w:r>
        <w:rPr>
          <w:b/>
          <w:sz w:val="28"/>
          <w:color w:val="800000"/>
        </w:rPr>
        <w:t xml:space="preserve">il coordinamento piemontese del Forum Salviamo il Paesaggio </w:t>
      </w:r>
    </w:p>
    <w:p>
      <w:pPr>
        <w:pStyle w:val="_Normal"/>
        <w:jc w:val="center"/>
      </w:pPr>
      <w:r>
        <w:rPr>
          <w:b/>
          <w:sz w:val="28"/>
          <w:color w:val="800000"/>
        </w:rPr>
        <w:t xml:space="preserve">e i partecipanti all'incontro «Culture e Paesaggio» (Asti, 23 febbraio 2018) </w:t>
      </w:r>
    </w:p>
    <w:p>
      <w:pPr>
        <w:pStyle w:val="_Normal"/>
        <w:jc w:val="center"/>
      </w:pPr>
    </w:p>
    <w:p>
      <w:pPr>
        <w:pStyle w:val="_Normal"/>
        <w:jc w:val="center"/>
      </w:pPr>
      <w:r>
        <w:rPr>
          <w:b/>
          <w:sz w:val="28"/>
          <w:color w:val="800000"/>
        </w:rPr>
        <w:t xml:space="preserve">sottoscrivono il presente appello </w:t>
      </w:r>
    </w:p>
    <w:p>
      <w:pPr>
        <w:pStyle w:val="_Normal"/>
        <w:jc w:val="center"/>
      </w:pPr>
    </w:p>
    <w:p>
      <w:pPr>
        <w:pStyle w:val="_Normal"/>
        <w:jc w:val="center"/>
      </w:pPr>
      <w:r>
        <w:rPr>
          <w:b/>
          <w:sz w:val="28"/>
          <w:color w:val="800000"/>
        </w:rPr>
        <w:t xml:space="preserve">indirizzato ai competenti amministratori </w:t>
      </w:r>
    </w:p>
    <w:p>
      <w:pPr>
        <w:pStyle w:val="_Normal"/>
        <w:jc w:val="center"/>
      </w:pPr>
      <w:r>
        <w:rPr>
          <w:b/>
          <w:sz w:val="28"/>
          <w:color w:val="800000"/>
        </w:rPr>
        <w:t xml:space="preserve">della Regione Piemonte </w:t>
      </w:r>
    </w:p>
    <w:p>
      <w:pPr>
        <w:pStyle w:val="_Normal"/>
        <w:jc w:val="center"/>
      </w:pPr>
      <w:r>
        <w:rPr>
          <w:b/>
          <w:sz w:val="28"/>
          <w:color w:val="800000"/>
        </w:rPr>
        <w:t xml:space="preserve">e del Comune di Asti</w:t>
      </w:r>
    </w:p>
    <w:p>
      <w:pPr>
        <w:pStyle w:val="_Normal"/>
        <w:jc w:val="left"/>
      </w:pPr>
    </w:p>
    <w:p>
      <w:pPr>
        <w:pStyle w:val="_Normal"/>
        <w:jc w:val="left"/>
      </w:pPr>
    </w:p>
    <w:p>
      <w:pPr>
        <w:pStyle w:val="_Normal"/>
        <w:jc w:val="center"/>
      </w:pPr>
      <w:r>
        <w:rPr>
          <w:b/>
          <w:sz w:val="32"/>
        </w:rPr>
        <w:t xml:space="preserve">PREMESSA:</w:t>
      </w:r>
    </w:p>
    <w:p>
      <w:pPr>
        <w:pStyle w:val="_Normal"/>
        <w:jc w:val="left"/>
      </w:pPr>
    </w:p>
    <w:p>
      <w:pPr>
        <w:pStyle w:val="_Normal"/>
        <w:jc w:val="left"/>
      </w:pPr>
      <w:r>
        <w:rPr/>
        <w:t xml:space="preserve">Il suolo è da intendersi come lo strato superficiale della Terra, la pelle viva del pianeta Terra. </w:t>
      </w:r>
    </w:p>
    <w:p>
      <w:pPr>
        <w:pStyle w:val="_Normal"/>
        <w:jc w:val="left"/>
      </w:pPr>
      <w:r>
        <w:rPr>
          <w:b/>
        </w:rPr>
        <w:t xml:space="preserve">Una pellicola fragile</w:t>
      </w:r>
      <w:r>
        <w:rPr/>
        <w:t xml:space="preserve">. Nel suolo vivono miliardi di creature viventi, un quarto della biodiversità di tutto il pianeta. </w:t>
      </w:r>
      <w:r>
        <w:rPr>
          <w:b/>
        </w:rPr>
        <w:t xml:space="preserve">Il suolo è una risorsa finita non rinnovabile e per questo preziosa almeno al pari dell’acqua, dell’aria e del sole. </w:t>
      </w:r>
    </w:p>
    <w:p>
      <w:pPr>
        <w:pStyle w:val="_Normal"/>
        <w:jc w:val="left"/>
      </w:pPr>
    </w:p>
    <w:p>
      <w:pPr>
        <w:pStyle w:val="_Normal"/>
        <w:jc w:val="left"/>
      </w:pPr>
      <w:r>
        <w:rPr>
          <w:b/>
        </w:rPr>
        <w:t xml:space="preserve">Secondo l’ISPRA-Istituto Superiore di Protezione Ambientale</w:t>
      </w:r>
      <w:r>
        <w:rPr/>
        <w:t xml:space="preserve"> il consumo di suolo in Italia non conosce soste, pur segnando un importante rallentamento negli ultimi anni. Dopo aver toccato anche gli 8 metri quadrati al secondo negli anni 2000 (</w:t>
      </w:r>
      <w:r>
        <w:rPr>
          <w:b/>
        </w:rPr>
        <w:t xml:space="preserve">tra i 6 ed i 7 metri quadrati al secondo è la media degli ultimi 50 anni</w:t>
      </w:r>
      <w:r>
        <w:rPr/>
        <w:t xml:space="preserve">), il rallentamento iniziato nel periodo 2008-2013 a causa della crisi economica si è consolidato negli ultimi due anni con una velocità ridotta di consumo di suolo, </w:t>
      </w:r>
      <w:r>
        <w:rPr>
          <w:b/>
        </w:rPr>
        <w:t xml:space="preserve">che continua però, sistematicamente e ininterrottamente, a ricoprire aree naturali e agricole con asfalto e cemento, fabbricati residenziali e produttivi, centri commerciali, servizi e strade. </w:t>
      </w:r>
    </w:p>
    <w:p>
      <w:pPr>
        <w:pStyle w:val="_Normal"/>
        <w:jc w:val="left"/>
      </w:pPr>
    </w:p>
    <w:p>
      <w:pPr>
        <w:pStyle w:val="_Normal"/>
        <w:jc w:val="left"/>
      </w:pPr>
      <w:r>
        <w:rPr>
          <w:b/>
        </w:rPr>
        <w:t xml:space="preserve">Il suolo consumato è passato dal 2,7% degli anni ’50 al 7,6% </w:t>
      </w:r>
      <w:r>
        <w:rPr/>
        <w:t xml:space="preserve">stimato per il 2017. In termini assoluti, il consumo di suolo si stima </w:t>
      </w:r>
      <w:r>
        <w:rPr>
          <w:b/>
        </w:rPr>
        <w:t xml:space="preserve">abbia intaccato ormai oltre 23.000 chilometri quadrati del nostro territorio: una superficie pari all'Emilia Romagna. </w:t>
      </w:r>
    </w:p>
    <w:p>
      <w:pPr>
        <w:pStyle w:val="_Normal"/>
        <w:jc w:val="left"/>
      </w:pPr>
    </w:p>
    <w:p>
      <w:pPr>
        <w:pStyle w:val="_Normal"/>
        <w:jc w:val="left"/>
      </w:pPr>
      <w:r>
        <w:rPr>
          <w:b/>
        </w:rPr>
        <w:t xml:space="preserve">ISPRA evidenzia, inoltre, i costi generati dal consumo di suolo </w:t>
      </w:r>
      <w:r>
        <w:rPr/>
        <w:t xml:space="preserve">in termini di perdita di servizi ecosistemici (l’approvvigionamento di acqua, cibo e materiali, la regolazione dei cicli naturali, la capacità di resistenza a eventi estremi e variazioni climatiche, il sequestro del carbonio - valutato in rapporto non solo ai costi sociali ma anche al valore di mercato dei permessi di emissione - e i servizi culturali e ricreativi), solitamente non contabilizzati. </w:t>
      </w:r>
    </w:p>
    <w:p>
      <w:pPr>
        <w:pStyle w:val="_Normal"/>
        <w:jc w:val="left"/>
      </w:pPr>
      <w:r>
        <w:rPr/>
        <w:t xml:space="preserve">In sintesi il dato nazionale evidenzia che</w:t>
      </w:r>
      <w:r>
        <w:rPr>
          <w:b/>
        </w:rPr>
        <w:t xml:space="preserve"> la perdita economica di servizi ecosistemici è compresa tra i 538,3 e gli 824,5 milioni di euro all’anno, che si traducono in una perdita per ettaro compresa tra i 36.000 e i 55.000 euro. </w:t>
      </w:r>
    </w:p>
    <w:p>
      <w:pPr>
        <w:pStyle w:val="_Normal"/>
        <w:jc w:val="left"/>
      </w:pPr>
    </w:p>
    <w:p>
      <w:pPr>
        <w:pStyle w:val="_Normal"/>
        <w:jc w:val="left"/>
      </w:pPr>
      <w:r>
        <w:rPr>
          <w:b/>
        </w:rPr>
        <w:t xml:space="preserve">Secondo l’ISTAT nel nostro Paese sono presenti oltre 7 milioni di abitazioni non utilizzate, 700 mila capannoni dismessi, 500 mila negozi definitivamente chiusi, 55 mila immobili confiscati alle mafie. </w:t>
      </w:r>
    </w:p>
    <w:p>
      <w:pPr>
        <w:pStyle w:val="_Normal"/>
        <w:jc w:val="left"/>
      </w:pPr>
      <w:r>
        <w:rPr/>
        <w:t xml:space="preserve">“Vuoti a perdere” che snaturano il paesaggio e le comunità a contorno.</w:t>
      </w:r>
    </w:p>
    <w:p>
      <w:pPr>
        <w:pStyle w:val="_Normal"/>
        <w:jc w:val="left"/>
      </w:pPr>
    </w:p>
    <w:p>
      <w:pPr>
        <w:pStyle w:val="_Normal"/>
        <w:jc w:val="left"/>
      </w:pPr>
      <w:r>
        <w:rPr/>
        <w:t xml:space="preserve">Tutto ciò a fronte di un </w:t>
      </w:r>
      <w:r>
        <w:rPr>
          <w:b/>
        </w:rPr>
        <w:t xml:space="preserve">andamento demografico </w:t>
      </w:r>
      <w:r>
        <w:rPr/>
        <w:t xml:space="preserve">(dovuto essenzialmente dall’ingresso di nuova popolazione dall’estero) che indica una crescita debole, tanto è vero che nel triennio 2012-2016 le morti hanno superato le nascite; </w:t>
      </w:r>
      <w:r>
        <w:rPr>
          <w:lang w:val="it-IT"/>
          <w:rFonts w:ascii="Liberation Serif" w:cs="Liberation Serif" w:hAnsi="Liberation Serif"/>
          <w:sz w:val="24"/>
          <w:color w:val="000000"/>
        </w:rPr>
        <w:t xml:space="preserve">nel 2017 la popolazione italiana era pari a 60.579.000 persone, circa 86 mila in meno rispetto al 2016, e sostanzialmente stabile dal 2014.</w:t>
      </w:r>
    </w:p>
    <w:p>
      <w:pPr>
        <w:pStyle w:val="_Normal"/>
        <w:jc w:val="left"/>
      </w:pPr>
    </w:p>
    <w:p>
      <w:pPr>
        <w:pStyle w:val="_Normal"/>
        <w:jc w:val="left"/>
      </w:pPr>
      <w:r>
        <w:rPr/>
        <w:t xml:space="preserve">Gran parte degli edifici di nuova costruzione oggi in vendita nel nostro Paese sono stati costruiti diversi anni fa e r</w:t>
      </w:r>
      <w:r>
        <w:rPr>
          <w:b/>
        </w:rPr>
        <w:t xml:space="preserve">egistrano nel 2015 un invenduto pari a 90.500 unità</w:t>
      </w:r>
      <w:r>
        <w:rPr/>
        <w:t xml:space="preserve"> (abitazioni ancora in costruzione e non ancora sul mercato escluse), nel contempo sono presenti immobili vetusti e quasi inutilizzabili che avrebbero invece bisogno di essere ristrutturati e riqualificati con evidenti benefici sia economici e sia di decoro e senza gravare sul suolo libero.</w:t>
      </w:r>
    </w:p>
    <w:p>
      <w:pPr>
        <w:pStyle w:val="_Normal"/>
        <w:jc w:val="left"/>
      </w:pPr>
    </w:p>
    <w:p>
      <w:pPr>
        <w:pStyle w:val="_Normal"/>
        <w:jc w:val="left"/>
      </w:pPr>
      <w:r>
        <w:rPr>
          <w:b/>
        </w:rPr>
        <w:t xml:space="preserve">La crisi economico-finanziaria di questi anni ha sedimentato in seno agli istituti bancari una grande quantità di immobili, pignorati in parte a cittadini “impoveriti” e, in prevalenza, alle imprese del settore impegnate in operazioni edilizie fallite per esubero di offerta. </w:t>
      </w:r>
      <w:r>
        <w:rPr/>
        <w:t xml:space="preserve">Non a caso i principali istituti di credito hanno aperto un filone “</w:t>
      </w:r>
      <w:r>
        <w:rPr>
          <w:i/>
        </w:rPr>
        <w:t xml:space="preserve">real estate</w:t>
      </w:r>
      <w:r>
        <w:rPr/>
        <w:t xml:space="preserve">” per smaltire un patrimonio in progressiva svalutazione che grava sui loro bilanci. Le principali sofferenze derivano dal comparto costruzioni e immobiliare, con il 41,7% dei prestiti deteriorati: una quota molto importante, che denuncia un’economia sbilanciata, troppo esposta su questo settore. </w:t>
      </w:r>
    </w:p>
    <w:p>
      <w:pPr>
        <w:pStyle w:val="_Normal"/>
        <w:jc w:val="left"/>
      </w:pPr>
    </w:p>
    <w:p>
      <w:pPr>
        <w:pStyle w:val="_Normal"/>
        <w:jc w:val="left"/>
      </w:pPr>
      <w:r>
        <w:rPr>
          <w:b/>
        </w:rPr>
        <w:t xml:space="preserve">Il Ministero per le Politiche Agricole Alimentari e forestali ci ricorda, inoltre, che il nostro Paese è in grado, oggi, di produrre appena l’80-85% del proprio fabbisogno primario alimentare, contro il 92% del 1991.</w:t>
      </w:r>
      <w:r>
        <w:rPr/>
        <w:t xml:space="preserve"> Significa che se, improvvisamente, non avessimo più la possibilità di importare cibo dall’estero, </w:t>
      </w:r>
      <w:r>
        <w:rPr>
          <w:b/>
        </w:rPr>
        <w:t xml:space="preserve">ben 20 italiani su 100 rimarrebbero a digiuno </w:t>
      </w:r>
      <w:r>
        <w:rPr/>
        <w:t xml:space="preserve">e che quindi, a causa della perdita di suoli fertili, il nostro Paese oggi non è in grado di garantire ai propri cittadini la sovranità alimentare. Tanto che la Superficie Agricola Utilizzata (SAU) si è ridotta a circa 12,7 milioni di ettari con 1,7 milioni di aziende agricole, </w:t>
      </w:r>
      <w:r>
        <w:rPr>
          <w:b/>
        </w:rPr>
        <w:t xml:space="preserve">superficie che nel 1991 era quasi 18 milioni di ettari.</w:t>
      </w:r>
    </w:p>
    <w:p>
      <w:pPr>
        <w:pStyle w:val="_Normal"/>
        <w:jc w:val="left"/>
      </w:pPr>
    </w:p>
    <w:p>
      <w:pPr>
        <w:pStyle w:val="_Normal"/>
        <w:jc w:val="left"/>
      </w:pPr>
      <w:r>
        <w:rPr/>
        <w:t xml:space="preserve">A livello globale </w:t>
      </w:r>
      <w:r>
        <w:rPr>
          <w:b/>
        </w:rPr>
        <w:t xml:space="preserve">il nostro Pianeta ha già perso un terzo del suo terreno coltivabile - a causa dell’erosione o dell’inquinamento - negli ultimi 40 anni</w:t>
      </w:r>
      <w:r>
        <w:rPr/>
        <w:t xml:space="preserve">, con conseguenze definite disastrose in presenza di una domanda globale di cibo che sale alle stelle: </w:t>
      </w:r>
      <w:r>
        <w:rPr>
          <w:b/>
        </w:rPr>
        <w:t xml:space="preserve">quasi il 33% del terreno mondiale adatto o ad alta produzione di cibo è stato perduto a un tasso che supera il ritmo dei processi naturali in grado di sostituire il suolo consumato.</w:t>
      </w:r>
    </w:p>
    <w:p>
      <w:pPr>
        <w:pStyle w:val="_Normal"/>
        <w:jc w:val="left"/>
      </w:pPr>
      <w:r>
        <w:rPr/>
        <w:t xml:space="preserve">E </w:t>
      </w:r>
      <w:r>
        <w:rPr>
          <w:b/>
        </w:rPr>
        <w:t xml:space="preserve">nel 2050 la popolazione mondiale supererà i 9 miliardi di persone: </w:t>
      </w:r>
      <w:r>
        <w:rPr/>
        <w:t xml:space="preserve">risulta, pertanto, necessario</w:t>
      </w:r>
      <w:r>
        <w:rPr>
          <w:b/>
        </w:rPr>
        <w:t xml:space="preserve"> incrementare la produzione agricola in Italia e nel mondo di almeno il 30%.</w:t>
      </w:r>
    </w:p>
    <w:p>
      <w:pPr>
        <w:pStyle w:val="_Normal"/>
        <w:jc w:val="left"/>
      </w:pPr>
    </w:p>
    <w:p>
      <w:pPr>
        <w:pStyle w:val="_Normal"/>
        <w:jc w:val="left"/>
      </w:pPr>
      <w:r>
        <w:rPr>
          <w:b/>
        </w:rPr>
        <w:t xml:space="preserve">7.145 sono i comuni italiani (l’88,3 % del totale) interessati da qualche elemento di pericolosità territoriale; </w:t>
      </w:r>
      <w:r>
        <w:rPr/>
        <w:t xml:space="preserve">tra questi il 20,3 % (1.640 comuni) presentano aree ad elevato (P3) o molto elevato (P4) rischio frana, il 19,9 % (1.607 comuni) presentano aree soggette a pericolosità idraulica (P2) mentre il 43,2 % (3.893 comuni) presentano un mix dei rischi potenziali (P2, P3, P4).</w:t>
      </w:r>
    </w:p>
    <w:p>
      <w:pPr>
        <w:pStyle w:val="_Normal"/>
        <w:jc w:val="left"/>
      </w:pPr>
    </w:p>
    <w:p>
      <w:pPr>
        <w:pStyle w:val="_Normal"/>
        <w:jc w:val="left"/>
      </w:pPr>
      <w:r>
        <w:rPr>
          <w:b/>
        </w:rPr>
        <w:t xml:space="preserve">Per queste considerazioni, il contrasto al consumo di suolo (parte integrante di un'azione di contrasto al cambiamento climatico) dev’essere considerato una priorità e diventare una delle massime urgenze dell’agenda parlamentare per i numerosi benefici indotti che ne derivano, di carattere sociale, ecologico ed economico.</w:t>
      </w:r>
    </w:p>
    <w:p>
      <w:pPr>
        <w:pStyle w:val="_Normal"/>
        <w:jc w:val="left"/>
      </w:pPr>
    </w:p>
    <w:p>
      <w:pPr>
        <w:pStyle w:val="_Normal"/>
        <w:jc w:val="left"/>
      </w:pPr>
      <w:r>
        <w:rPr/>
        <w:t xml:space="preserve">Il</w:t>
      </w:r>
      <w:r>
        <w:rPr/>
        <w:t xml:space="preserve"> Forum Italiano dei Movimenti per la Terra e il Paesaggio (più noto come Forum Salviamo il Paesaggio) - Rete civica nazionale a cui aderiscono attualmente oltre 1.000 organizzazioni e molte migliaia di cittadini a livello individuale - </w:t>
      </w:r>
      <w:r>
        <w:rPr>
          <w:b/>
        </w:rPr>
        <w:t xml:space="preserve">ha </w:t>
      </w:r>
      <w:r>
        <w:rPr>
          <w:b/>
        </w:rPr>
        <w:t xml:space="preserve">uffici</w:t>
      </w:r>
      <w:r>
        <w:rPr>
          <w:b/>
        </w:rPr>
        <w:t xml:space="preserve">almente presentato nei giorni scorsi</w:t>
      </w:r>
      <w:r>
        <w:rPr>
          <w:b/>
        </w:rPr>
        <w:t xml:space="preserve"> un proprio originale testo normativo volto a mettere fine al consumo di suolo</w:t>
      </w:r>
      <w:r>
        <w:rPr/>
        <w:t xml:space="preserve"> e non limitarlo al suo semplice “contenimento”, da proporre come riferimento per iniziative parlamentari tese a </w:t>
      </w:r>
      <w:r>
        <w:rPr>
          <w:b/>
        </w:rPr>
        <w:t xml:space="preserve">dotare il nostro Paese di una chiara, inequivocabile, costruttiva normativa a tutela dei suoli ancora liberi, compresi quelli all’interno dell’area urbanizzata, utile a risolvere anche i problemi dell’enorme patrimonio edilizio inutilizzato ed in stato di abbandono. </w:t>
      </w:r>
    </w:p>
    <w:p>
      <w:pPr>
        <w:pStyle w:val="_Normal"/>
        <w:jc w:val="left"/>
      </w:pPr>
      <w:r>
        <w:rPr/>
        <w:t xml:space="preserve">Tra l’ottobre 2016 e il gennaio 2017 all’interno del Forum è stato costituito un apposito gruppo di lavoro tecnico-scientifico multidisciplinare, formato da 75 persone: </w:t>
      </w:r>
      <w:r>
        <w:rPr>
          <w:b/>
        </w:rPr>
        <w:t xml:space="preserve">architetti, urbanisti, docenti universitari, ricercatori, pedologi, geologi, agricoltori, agronomi, tecnici ambientali, giuristi, avvocati, giornalisti/divulgatori, psicanalisti, tecnici di primarie associazioni nazionali, sindacalisti, paesaggisti, biologi </w:t>
      </w:r>
      <w:r>
        <w:rPr/>
        <w:t xml:space="preserve">ecc.</w:t>
      </w:r>
      <w:r>
        <w:rPr/>
        <w:t xml:space="preserve">  </w:t>
      </w:r>
      <w:r>
        <w:rPr/>
        <w:t xml:space="preserve">E il 3 febbraio scorso il testo normativo è stato reso pubblico, invitando </w:t>
      </w:r>
      <w:r>
        <w:rPr/>
        <w:t xml:space="preserve"> tutte le forze </w:t>
      </w:r>
      <w:r>
        <w:rPr/>
        <w:t xml:space="preserve">sociali, economiche e </w:t>
      </w:r>
      <w:r>
        <w:rPr/>
        <w:t xml:space="preserve">politiche a valutarlo e indicare la loro condivisione e </w:t>
      </w:r>
      <w:r>
        <w:rPr>
          <w:b/>
        </w:rPr>
        <w:t xml:space="preserve">l'impegno a sostenerlo </w:t>
      </w:r>
      <w:r>
        <w:rPr/>
        <w:t xml:space="preserve">fin dalle prime ore della prossima legislatura.</w:t>
      </w:r>
    </w:p>
    <w:p>
      <w:pPr>
        <w:pStyle w:val="_Normal"/>
        <w:jc w:val="left"/>
      </w:pPr>
    </w:p>
    <w:p>
      <w:pPr>
        <w:pStyle w:val="_Normal"/>
        <w:jc w:val="center"/>
      </w:pPr>
      <w:r>
        <w:rPr>
          <w:b/>
          <w:sz w:val="32"/>
        </w:rPr>
        <w:t xml:space="preserve">APPELLO:</w:t>
      </w:r>
    </w:p>
    <w:p>
      <w:pPr>
        <w:pStyle w:val="_Normal"/>
        <w:jc w:val="left"/>
      </w:pPr>
    </w:p>
    <w:p>
      <w:pPr>
        <w:pStyle w:val="_Normal"/>
        <w:jc w:val="left"/>
      </w:pPr>
      <w:r>
        <w:rPr/>
        <w:t xml:space="preserve">Sulla base di tutte le sintetiche rilevazioni prima richiamate,</w:t>
      </w:r>
      <w:r>
        <w:rPr>
          <w:b/>
        </w:rPr>
        <w:t xml:space="preserve"> risulta per noi evidente che il consumo di suolo è una autentica emergenza nazionale e il suo contrasto deve essere immediatamente attuato attraverso l'impegno </w:t>
      </w:r>
      <w:r>
        <w:rPr>
          <w:b/>
        </w:rPr>
        <w:t xml:space="preserve">sia di ogni singolo cittadino e sia - e ancor più - di ciascun livello della pubblica amministrazione.</w:t>
      </w:r>
    </w:p>
    <w:p>
      <w:pPr>
        <w:pStyle w:val="_Normal"/>
        <w:jc w:val="left"/>
      </w:pPr>
    </w:p>
    <w:p>
      <w:pPr>
        <w:pStyle w:val="_Normal"/>
        <w:jc w:val="left"/>
      </w:pPr>
      <w:r>
        <w:rPr/>
        <w:t xml:space="preserve">In questi giorni è stato annunciato l'esito del </w:t>
      </w:r>
      <w:r>
        <w:rPr>
          <w:b/>
        </w:rPr>
        <w:t xml:space="preserve">Bando regionale di selezione “</w:t>
      </w:r>
      <w:r>
        <w:rPr>
          <w:b/>
          <w:i/>
        </w:rPr>
        <w:t xml:space="preserve">Poli Innovativi per l’infanzia</w:t>
      </w:r>
      <w:r>
        <w:rPr>
          <w:b/>
        </w:rPr>
        <w:t xml:space="preserve">”,</w:t>
      </w:r>
      <w:r>
        <w:rPr/>
        <w:t xml:space="preserve"> con il quale si intende favorire l’aggregazione di sedi scolastiche già esistenti in nuove strutture sicure sia dal punto di vista strutturale e sia sotto il profilo antisismico, utilizzando criteri di edilizia sostenibile. Un Bando indubbiamente apprezzabile  per gli scopi che intende perseguire, ma che purtroppo contiene una grave distorsione poichè </w:t>
      </w:r>
      <w:r>
        <w:rPr>
          <w:b/>
        </w:rPr>
        <w:t xml:space="preserve">non tiene conto - e, anzi, disattende gravemente - tutti gli orientamenti che la stessa Regione Piemonte ha inteso indicare attraverso le sue norme in materia di contrasto al consumo di suolo e di salvaguardia del territorio.</w:t>
      </w:r>
    </w:p>
    <w:p>
      <w:pPr>
        <w:pStyle w:val="_Normal"/>
        <w:jc w:val="left"/>
      </w:pPr>
    </w:p>
    <w:p>
      <w:pPr>
        <w:pStyle w:val="_Normal"/>
        <w:jc w:val="left"/>
      </w:pPr>
      <w:r>
        <w:rPr/>
        <w:t xml:space="preserve">Il Bando ha assegnato cospicui finanziamenti alle città di </w:t>
      </w:r>
      <w:r>
        <w:rPr>
          <w:b/>
        </w:rPr>
        <w:t xml:space="preserve">Acqui Terme, Torino e Asti</w:t>
      </w:r>
      <w:r>
        <w:rPr/>
        <w:t xml:space="preserve"> e le risorse saranno messe a disposizione dall’</w:t>
      </w:r>
      <w:r>
        <w:rPr>
          <w:b/>
        </w:rPr>
        <w:t xml:space="preserve">Inail (Istituto  nazionale Assicurazione e Infortuni sul lavoro) </w:t>
      </w:r>
      <w:r>
        <w:rPr/>
        <w:t xml:space="preserve">grazie a quanto previsto dal decreto D.lgs 65/2017 attuativo del provvedimento "</w:t>
      </w:r>
      <w:r>
        <w:rPr>
          <w:i/>
        </w:rPr>
        <w:t xml:space="preserve">Buona scuola</w:t>
      </w:r>
      <w:r>
        <w:rPr/>
        <w:t xml:space="preserve">".</w:t>
      </w:r>
    </w:p>
    <w:p>
      <w:pPr>
        <w:pStyle w:val="_Normal"/>
        <w:jc w:val="left"/>
      </w:pPr>
    </w:p>
    <w:p>
      <w:pPr>
        <w:pStyle w:val="_Normal"/>
        <w:jc w:val="left"/>
      </w:pPr>
      <w:r>
        <w:rPr/>
        <w:t xml:space="preserve">Il 4 dicembre dello scorso anno il coordinamento piemontese del Forum Salviamo il Paesaggio </w:t>
      </w:r>
      <w:r>
        <w:rPr>
          <w:b/>
        </w:rPr>
        <w:t xml:space="preserve">aveva provveduto a invitare formalmente la Regione Piemonte a modificare i parametri del Bando in questione</w:t>
      </w:r>
      <w:r>
        <w:rPr/>
        <w:t xml:space="preserve">, annullando il riferimento a nuove edificazioni e sostituendo questa voce con un più congruo invito all'individuazione di strutture e aree inutilizzate da sottoporre a riuso/recupero. </w:t>
      </w:r>
      <w:r>
        <w:rPr>
          <w:b/>
        </w:rPr>
        <w:t xml:space="preserve">Nessuna risposta è però pervenuta dalla Regione Piemonte. </w:t>
      </w:r>
    </w:p>
    <w:p>
      <w:pPr>
        <w:pStyle w:val="_Normal"/>
        <w:jc w:val="left"/>
      </w:pPr>
    </w:p>
    <w:p>
      <w:pPr>
        <w:pStyle w:val="_Normal"/>
        <w:jc w:val="left"/>
      </w:pPr>
      <w:r>
        <w:rPr/>
        <w:t xml:space="preserve">Riteniamo ora </w:t>
      </w:r>
      <w:r>
        <w:rPr/>
        <w:t xml:space="preserve">necessario</w:t>
      </w:r>
      <w:r>
        <w:rPr/>
        <w:t xml:space="preserve"> sollecitare nuovamente tutte le amministrazion</w:t>
      </w:r>
      <w:r>
        <w:rPr/>
        <w:t xml:space="preserve">i</w:t>
      </w:r>
      <w:r>
        <w:rPr/>
        <w:t xml:space="preserve"> coinvolte (Regione e Comuni) </w:t>
      </w:r>
      <w:r>
        <w:rPr>
          <w:b/>
        </w:rPr>
        <w:t xml:space="preserve">affinché il grave e colpevole errore di consumare nuovo suolo libero possa essere evitato </w:t>
      </w:r>
      <w:r>
        <w:rPr/>
        <w:t xml:space="preserve">e, contemporaneamente, venga chiaramente mostrata proprio dagli Enti Pubblici locali la priorità di orientare l'urbanistica a</w:t>
      </w:r>
      <w:r>
        <w:rPr/>
        <w:t xml:space="preserve">l</w:t>
      </w:r>
      <w:r>
        <w:rPr/>
        <w:t xml:space="preserve"> recupero e riuso dell'enorme stock edilizio esistente e inutilizzato e </w:t>
      </w:r>
      <w:r>
        <w:rPr/>
        <w:t xml:space="preserve">alla</w:t>
      </w:r>
      <w:r>
        <w:rPr/>
        <w:t xml:space="preserve"> salvaguard</w:t>
      </w:r>
      <w:r>
        <w:rPr/>
        <w:t xml:space="preserve">ia de</w:t>
      </w:r>
      <w:r>
        <w:rPr/>
        <w:t xml:space="preserve">gli spazi ancora</w:t>
      </w:r>
      <w:r>
        <w:rPr/>
        <w:t xml:space="preserve"> non</w:t>
      </w:r>
      <w:r>
        <w:rPr/>
        <w:t xml:space="preserve"> impermeabilizzati restanti nei nostri territori.</w:t>
      </w:r>
    </w:p>
    <w:p>
      <w:pPr>
        <w:pStyle w:val="_Normal"/>
        <w:jc w:val="left"/>
      </w:pPr>
    </w:p>
    <w:p>
      <w:pPr>
        <w:pStyle w:val="_Normal"/>
        <w:jc w:val="left"/>
      </w:pPr>
      <w:r>
        <w:rPr/>
        <w:t xml:space="preserve">In definitiva, </w:t>
      </w:r>
      <w:r>
        <w:rPr>
          <w:b/>
        </w:rPr>
        <w:t xml:space="preserve">chiediamo alle nostre amministrazioni, con deferenza ma anche con forza, di non macchiarsi di un nuovo e colpevole atto contro il nostro </w:t>
      </w:r>
      <w:r>
        <w:rPr>
          <w:b/>
        </w:rPr>
        <w:t xml:space="preserve">unico </w:t>
      </w:r>
      <w:r>
        <w:rPr>
          <w:b/>
        </w:rPr>
        <w:t xml:space="preserve">ambiente di vita.</w:t>
      </w:r>
      <w:r>
        <w:rPr/>
        <w:t xml:space="preserve"> </w:t>
      </w:r>
    </w:p>
    <w:p>
      <w:pPr>
        <w:pStyle w:val="_Normal"/>
        <w:jc w:val="left"/>
      </w:pPr>
    </w:p>
    <w:p>
      <w:pPr>
        <w:pStyle w:val="_Normal"/>
        <w:jc w:val="left"/>
      </w:pPr>
      <w:r>
        <w:rPr>
          <w:b/>
        </w:rPr>
        <w:t xml:space="preserve">Che</w:t>
      </w:r>
      <w:r>
        <w:rPr/>
        <w:t xml:space="preserve">, per quanto accennato nella nostra premessa, </w:t>
      </w:r>
      <w:r>
        <w:rPr>
          <w:b/>
        </w:rPr>
        <w:t xml:space="preserve">deve la propria sopravvivenz</w:t>
      </w:r>
      <w:r>
        <w:rPr>
          <w:b/>
        </w:rPr>
        <w:t xml:space="preserve">a</w:t>
      </w:r>
      <w:r>
        <w:rPr>
          <w:b/>
        </w:rPr>
        <w:t xml:space="preserve"> alle nostre scelte di oggi</w:t>
      </w:r>
      <w:r>
        <w:rPr>
          <w:b/>
        </w:rPr>
        <w:t xml:space="preserve"> ...</w:t>
      </w:r>
    </w:p>
    <w:p>
      <w:pPr>
        <w:pStyle w:val="_Normal"/>
        <w:jc w:val="left"/>
      </w:pPr>
    </w:p>
    <w:p>
      <w:pPr>
        <w:pStyle w:val="_Normal"/>
        <w:jc w:val="left"/>
      </w:pPr>
    </w:p>
    <w:p>
      <w:pPr>
        <w:pStyle w:val="_Normal"/>
        <w:jc w:val="left"/>
      </w:pPr>
    </w:p>
    <w:p>
      <w:pPr>
        <w:pStyle w:val="_Normal"/>
        <w:jc w:val="left"/>
      </w:pPr>
    </w:p>
    <w:p>
      <w:pPr>
        <w:pStyle w:val="_Normal"/>
        <w:jc w:val="left"/>
      </w:pPr>
    </w:p>
    <w:sectPr>
      <w:type w:val="continuous"/>
      <w:pgSz w:w="11906" w:h="16838" w:orient="portrait"/>
      <w:pgMar w:top="1134" w:left="1134" w:right="1134" w:bottom="1134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Arrowhead List">
    <w:name w:val="Arrowhead List"/>
    <w:basedOn w:val="_Normal"/>
    <w:pPr>
      <w:ind w:hanging="432"/>
      <w:ind w:left="720"/>
    </w:pPr>
    <w:rPr/>
  </w:style>
  <w:style w:type="paragraph" w:styleId="Balloon Text">
    <w:name w:val="Balloon Text"/>
    <w:basedOn w:val="_Normal"/>
    <w:pPr/>
    <w:rPr>
      <w:sz w:val="16"/>
      <w:rFonts w:ascii="Tahoma" w:cs="Tahoma" w:hAnsi="Tahoma"/>
    </w:rPr>
  </w:style>
  <w:style w:type="paragraph" w:styleId="Block Text">
    <w:name w:val="Block Text"/>
    <w:basedOn w:val="_Normal"/>
    <w:pPr>
      <w:ind w:left="1440"/>
      <w:ind w:right="1440"/>
      <w:spacing w:after="120"/>
    </w:pPr>
    <w:rPr/>
  </w:style>
  <w:style w:type="paragraph" w:styleId="Body Text">
    <w:name w:val="Body Text"/>
    <w:basedOn w:val="_Normal"/>
    <w:pPr>
      <w:spacing w:after="140"/>
      <w:spacing w:line="287" w:lineRule="auto"/>
    </w:pPr>
    <w:rPr/>
  </w:style>
  <w:style w:type="paragraph" w:styleId="Box List">
    <w:name w:val="Box List"/>
    <w:basedOn w:val="_Normal"/>
    <w:pPr>
      <w:ind w:hanging="432"/>
      <w:ind w:left="720"/>
    </w:pPr>
    <w:rPr/>
  </w:style>
  <w:style w:type="paragraph" w:styleId="Bullet List">
    <w:name w:val="Bullet List"/>
    <w:basedOn w:val="_Normal"/>
    <w:pPr>
      <w:ind w:hanging="432"/>
      <w:ind w:left="720"/>
    </w:pPr>
    <w:rPr/>
  </w:style>
  <w:style w:type="paragraph" w:styleId="Chapter Heading">
    <w:name w:val="Chapter Heading"/>
    <w:basedOn w:val="Numbered Heading 1"/>
    <w:next w:val="_Normal"/>
    <w:pPr>
      <w:ind w:firstLine="0"/>
    </w:pPr>
    <w:rPr/>
  </w:style>
  <w:style w:type="paragraph" w:styleId="Contents 1">
    <w:name w:val="Contents 1"/>
    <w:basedOn w:val="_Normal"/>
    <w:next w:val="_Normal"/>
    <w:pPr>
      <w:ind w:hanging="432"/>
      <w:ind w:left="720"/>
    </w:pPr>
    <w:rPr/>
  </w:style>
  <w:style w:type="paragraph" w:styleId="Contents 2">
    <w:name w:val="Contents 2"/>
    <w:basedOn w:val="_Normal"/>
    <w:next w:val="_Normal"/>
    <w:pPr>
      <w:ind w:hanging="432"/>
      <w:ind w:left="1440"/>
    </w:pPr>
    <w:rPr/>
  </w:style>
  <w:style w:type="paragraph" w:styleId="Contents 3">
    <w:name w:val="Contents 3"/>
    <w:basedOn w:val="_Normal"/>
    <w:next w:val="_Normal"/>
    <w:pPr>
      <w:ind w:hanging="432"/>
      <w:ind w:left="2160"/>
    </w:pPr>
    <w:rPr/>
  </w:style>
  <w:style w:type="paragraph" w:styleId="Contents 4">
    <w:name w:val="Contents 4"/>
    <w:basedOn w:val="_Normal"/>
    <w:next w:val="_Normal"/>
    <w:pPr>
      <w:ind w:hanging="432"/>
      <w:ind w:left="2880"/>
    </w:pPr>
    <w:rPr/>
  </w:style>
  <w:style w:type="paragraph" w:styleId="Contents Header">
    <w:name w:val="Contents Header"/>
    <w:basedOn w:val="_Normal"/>
    <w:next w:val="_Normal"/>
    <w:pPr>
      <w:jc w:val="center"/>
      <w:spacing w:after="120"/>
      <w:spacing w:before="240"/>
    </w:pPr>
    <w:rPr>
      <w:b/>
      <w:sz w:val="32"/>
      <w:rFonts w:ascii="Arial" w:cs="Arial" w:hAnsi="Arial"/>
    </w:rPr>
  </w:style>
  <w:style w:type="paragraph" w:styleId="Corpo del testo">
    <w:name w:val="Corpo del testo"/>
    <w:basedOn w:val="_Normal"/>
    <w:pPr>
      <w:spacing w:after="140"/>
      <w:spacing w:before="0"/>
      <w:spacing w:line="288" w:lineRule="auto"/>
    </w:pPr>
    <w:rPr/>
  </w:style>
  <w:style w:type="paragraph" w:styleId="Dashed List">
    <w:name w:val="Dashed List"/>
    <w:basedOn w:val="_Normal"/>
    <w:pPr>
      <w:ind w:hanging="432"/>
      <w:ind w:left="720"/>
    </w:pPr>
    <w:rPr/>
  </w:style>
  <w:style w:type="character" w:styleId="Default Paragraph Font">
    <w:name w:val="Default Paragraph Font"/>
    <w:basedOn w:val="_Normal"/>
    <w:pPr/>
    <w:rPr/>
  </w:style>
  <w:style w:type="paragraph" w:styleId="Diamond List">
    <w:name w:val="Diamond List"/>
    <w:basedOn w:val="_Normal"/>
    <w:pPr>
      <w:ind w:hanging="432"/>
      <w:ind w:left="720"/>
    </w:pPr>
    <w:rPr/>
  </w:style>
  <w:style w:type="paragraph" w:styleId="Didascalia">
    <w:name w:val="Didascalia"/>
    <w:basedOn w:val="_Normal"/>
    <w:pPr>
      <w:spacing w:after="120"/>
      <w:spacing w:before="120"/>
    </w:pPr>
    <w:rPr>
      <w:i/>
      <w:sz w:val="24"/>
      <w:rFonts w:ascii="FreeSans" w:cs="FreeSans" w:hAnsi="FreeSans"/>
    </w:rPr>
  </w:style>
  <w:style w:type="paragraph" w:styleId="Elenco">
    <w:name w:val="Elenco"/>
    <w:basedOn w:val="Corpo del testo"/>
    <w:pPr/>
    <w:rPr>
      <w:rFonts w:ascii="FreeSans" w:cs="FreeSans" w:hAnsi="FreeSans"/>
    </w:rPr>
  </w:style>
  <w:style w:type="paragraph" w:styleId="Endnote">
    <w:name w:val="Endnote"/>
    <w:basedOn w:val="_Normal"/>
    <w:pPr>
      <w:ind w:hanging="288"/>
      <w:ind w:left="288"/>
    </w:pPr>
    <w:rPr/>
  </w:style>
  <w:style w:type="character" w:styleId="Endnote Reference">
    <w:name w:val="Endnote Reference"/>
    <w:basedOn w:val="_Normal"/>
    <w:pPr/>
    <w:rPr>
      <w:sz w:val="20"/>
      <w:vertAlign w:val="superscript"/>
    </w:rPr>
  </w:style>
  <w:style w:type="paragraph" w:styleId="Endnote Text">
    <w:name w:val="Endnote Text"/>
    <w:basedOn w:val="_Normal"/>
    <w:pPr/>
    <w:rPr/>
  </w:style>
  <w:style w:type="paragraph" w:styleId="Footnote">
    <w:name w:val="Footnote"/>
    <w:basedOn w:val="_Normal"/>
    <w:pPr>
      <w:ind w:hanging="288"/>
      <w:ind w:left="288"/>
    </w:pPr>
    <w:rPr>
      <w:sz w:val="20"/>
    </w:rPr>
  </w:style>
  <w:style w:type="character" w:styleId="Footnote Reference">
    <w:name w:val="Footnote Reference"/>
    <w:basedOn w:val="_Normal"/>
    <w:pPr/>
    <w:rPr>
      <w:sz w:val="20"/>
      <w:vertAlign w:val="superscript"/>
    </w:rPr>
  </w:style>
  <w:style w:type="paragraph" w:styleId="Footnote Text">
    <w:name w:val="Footnote Text"/>
    <w:basedOn w:val="_Normal"/>
    <w:pPr/>
    <w:rPr>
      <w:sz w:val="20"/>
    </w:rPr>
  </w:style>
  <w:style w:type="paragraph" w:styleId="Hand List">
    <w:name w:val="Hand List"/>
    <w:basedOn w:val="_Normal"/>
    <w:pPr>
      <w:ind w:hanging="432"/>
      <w:ind w:left="720"/>
    </w:pPr>
    <w:rPr/>
  </w:style>
  <w:style w:type="paragraph" w:styleId="Heading 1">
    <w:name w:val="Heading 1"/>
    <w:basedOn w:val="_Normal"/>
    <w:next w:val="_Normal"/>
    <w:pPr>
      <w:spacing w:after="60"/>
      <w:spacing w:before="440"/>
    </w:pPr>
    <w:rPr>
      <w:b/>
      <w:sz w:val="34"/>
      <w:rFonts w:ascii="Arial" w:cs="Arial" w:hAnsi="Arial"/>
    </w:rPr>
  </w:style>
  <w:style w:type="paragraph" w:styleId="Heading 2">
    <w:name w:val="Heading 2"/>
    <w:basedOn w:val="_Normal"/>
    <w:next w:val="_Normal"/>
    <w:pPr>
      <w:spacing w:after="60"/>
      <w:spacing w:before="440"/>
    </w:pPr>
    <w:rPr>
      <w:b/>
      <w:sz w:val="28"/>
      <w:rFonts w:ascii="Arial" w:cs="Arial" w:hAnsi="Arial"/>
    </w:rPr>
  </w:style>
  <w:style w:type="paragraph" w:styleId="Heading 3">
    <w:name w:val="Heading 3"/>
    <w:basedOn w:val="_Normal"/>
    <w:next w:val="_Normal"/>
    <w:pPr>
      <w:spacing w:after="60"/>
      <w:spacing w:before="440"/>
    </w:pPr>
    <w:rPr>
      <w:b/>
      <w:sz w:val="24"/>
      <w:rFonts w:ascii="Arial" w:cs="Arial" w:hAnsi="Arial"/>
    </w:rPr>
  </w:style>
  <w:style w:type="paragraph" w:styleId="Heading 4">
    <w:name w:val="Heading 4"/>
    <w:basedOn w:val="_Normal"/>
    <w:next w:val="_Normal"/>
    <w:pPr>
      <w:spacing w:after="60"/>
      <w:spacing w:before="440"/>
    </w:pPr>
    <w:rPr>
      <w:b/>
      <w:sz w:val="24"/>
      <w:rFonts w:ascii="Arial" w:cs="Arial" w:hAnsi="Arial"/>
    </w:rPr>
  </w:style>
  <w:style w:type="paragraph" w:styleId="Heart List">
    <w:name w:val="Heart List"/>
    <w:basedOn w:val="_Normal"/>
    <w:pPr>
      <w:ind w:hanging="432"/>
      <w:ind w:left="720"/>
    </w:pPr>
    <w:rPr/>
  </w:style>
  <w:style w:type="paragraph" w:styleId="Implies List">
    <w:name w:val="Implies List"/>
    <w:basedOn w:val="_Normal"/>
    <w:pPr>
      <w:ind w:hanging="432"/>
      <w:ind w:left="720"/>
    </w:pPr>
    <w:rPr/>
  </w:style>
  <w:style w:type="paragraph" w:styleId="Indice">
    <w:name w:val="Indice"/>
    <w:basedOn w:val="_Normal"/>
    <w:pPr/>
    <w:rPr>
      <w:rFonts w:ascii="FreeSans" w:cs="FreeSans" w:hAnsi="FreeSans"/>
    </w:rPr>
  </w:style>
  <w:style w:type="paragraph" w:styleId="List">
    <w:name w:val="List"/>
    <w:basedOn w:val="Body Text"/>
    <w:pPr/>
    <w:rPr>
      <w:rFonts w:ascii="FreeSans" w:cs="FreeSans" w:hAnsi="FreeSans"/>
    </w:rPr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_Normal"/>
    <w:pPr>
      <w:ind w:hanging="432"/>
      <w:ind w:left="720"/>
    </w:pPr>
    <w:rPr/>
  </w:style>
  <w:style w:type="paragraph" w:styleId="No List">
    <w:name w:val="No List"/>
    <w:basedOn w:val="_Normal"/>
    <w:pPr/>
    <w:rPr/>
  </w:style>
  <w:docDefaults>
    <w:pPrDefault>
      <w:pPr/>
    </w:pPrDefault>
    <w:rPrDefault>
      <w:rPr>
        <w:sz w:val="24"/>
        <w:rFonts w:ascii="Liberation Serif" w:cs="Liberation Serif" w:hAnsi="Liberation Serif"/>
      </w:rPr>
    </w:rPrDefault>
  </w:docDefaults>
  <w:style w:type="paragraph" w:styleId="Normal Table">
    <w:name w:val="Normal Table"/>
    <w:basedOn w:val="_Normal"/>
    <w:pPr/>
    <w:rPr/>
  </w:style>
  <w:style w:type="paragraph" w:styleId="Numbered Heading 1">
    <w:name w:val="Numbered Heading 1"/>
    <w:basedOn w:val="Heading 1"/>
    <w:next w:val="_Normal"/>
    <w:pPr>
      <w:ind w:firstLine="0"/>
    </w:pPr>
    <w:rPr/>
  </w:style>
  <w:style w:type="paragraph" w:styleId="Numbered Heading 2">
    <w:name w:val="Numbered Heading 2"/>
    <w:basedOn w:val="Heading 2"/>
    <w:next w:val="_Normal"/>
    <w:pPr>
      <w:ind w:firstLine="0"/>
    </w:pPr>
    <w:rPr/>
  </w:style>
  <w:style w:type="paragraph" w:styleId="Numbered Heading 3">
    <w:name w:val="Numbered Heading 3"/>
    <w:basedOn w:val="Heading 3"/>
    <w:next w:val="_Normal"/>
    <w:pPr>
      <w:ind w:firstLine="0"/>
    </w:pPr>
    <w:rPr/>
  </w:style>
  <w:style w:type="paragraph" w:styleId="Numbered List">
    <w:name w:val="Numbered List"/>
    <w:basedOn w:val="_Normal"/>
    <w:pPr>
      <w:ind w:hanging="432"/>
      <w:ind w:left="720"/>
    </w:pPr>
    <w:rPr/>
  </w:style>
  <w:style w:type="paragraph" w:styleId="Plain Text">
    <w:name w:val="Plain Text"/>
    <w:basedOn w:val="_Normal"/>
    <w:pPr/>
    <w:rPr>
      <w:rFonts w:ascii="Courier New" w:cs="Courier New" w:hAnsi="Courier New"/>
    </w:rPr>
  </w:style>
  <w:style w:type="paragraph" w:styleId="Section Heading">
    <w:name w:val="Section Heading"/>
    <w:basedOn w:val="Numbered Heading 1"/>
    <w:next w:val="_Normal"/>
    <w:pPr>
      <w:ind w:firstLine="0"/>
    </w:pPr>
    <w:rPr/>
  </w:style>
  <w:style w:type="character" w:styleId="Soggetto commento Carattere">
    <w:name w:val="Soggetto commento Carattere"/>
    <w:basedOn w:val="Testo commento Carattere"/>
    <w:pPr/>
    <w:rPr>
      <w:b/>
    </w:rPr>
  </w:style>
  <w:style w:type="paragraph" w:styleId="Square List">
    <w:name w:val="Square List"/>
    <w:basedOn w:val="_Normal"/>
    <w:pPr>
      <w:ind w:hanging="432"/>
      <w:ind w:left="720"/>
    </w:pPr>
    <w:rPr/>
  </w:style>
  <w:style w:type="paragraph" w:styleId="Star List">
    <w:name w:val="Star List"/>
    <w:basedOn w:val="_Normal"/>
    <w:pPr>
      <w:ind w:hanging="432"/>
      <w:ind w:left="720"/>
    </w:pPr>
    <w:rPr/>
  </w:style>
  <w:style w:type="character" w:styleId="Testo commento Carattere">
    <w:name w:val="Testo commento Carattere"/>
    <w:basedOn w:val="Default Paragraph Font"/>
    <w:pPr/>
    <w:rPr>
      <w:sz w:val="20"/>
    </w:rPr>
  </w:style>
  <w:style w:type="character" w:styleId="Testo fumetto Carattere">
    <w:name w:val="Testo fumetto Carattere"/>
    <w:basedOn w:val="Default Paragraph Font"/>
    <w:pPr/>
    <w:rPr>
      <w:sz w:val="16"/>
      <w:rFonts w:ascii="Tahoma" w:cs="Tahoma" w:hAnsi="Tahoma"/>
    </w:rPr>
  </w:style>
  <w:style w:type="paragraph" w:styleId="Tick List">
    <w:name w:val="Tick List"/>
    <w:basedOn w:val="_Normal"/>
    <w:pPr>
      <w:ind w:hanging="432"/>
      <w:ind w:left="720"/>
    </w:pPr>
    <w:rPr/>
  </w:style>
  <w:style w:type="paragraph" w:styleId="Title">
    <w:name w:val="Title"/>
    <w:basedOn w:val="_Normal"/>
    <w:next w:val="Body Text"/>
    <w:pPr>
      <w:spacing w:after="120"/>
      <w:spacing w:before="240"/>
    </w:pPr>
    <w:rPr>
      <w:sz w:val="28"/>
      <w:rFonts w:ascii="Liberation Sans" w:cs="Liberation Sans" w:hAnsi="Liberation Sans"/>
    </w:rPr>
  </w:style>
  <w:style w:type="paragraph" w:styleId="Titolo">
    <w:name w:val="Titolo"/>
    <w:basedOn w:val="_Normal"/>
    <w:next w:val="Corpo del testo"/>
    <w:pPr>
      <w:spacing w:after="120"/>
      <w:spacing w:before="240"/>
    </w:pPr>
    <w:rPr>
      <w:sz w:val="28"/>
      <w:rFonts w:ascii="Liberation Sans" w:cs="Liberation Sans" w:hAnsi="Liberation Sans"/>
    </w:rPr>
  </w:style>
  <w:style w:type="paragraph" w:styleId="Triangle List">
    <w:name w:val="Triangle List"/>
    <w:basedOn w:val="_Normal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  <w:style w:type="paragraph" w:styleId="_Normal">
    <w:name w:val="_Normal"/>
    <w:basedOn w:val="_Normal"/>
    <w:pPr/>
    <w:rPr>
      <w:sz w:val="24"/>
      <w:rFonts w:ascii="Liberation Serif" w:cs="Liberation Serif" w:hAnsi="Liberation Serif"/>
      <w:color w:val="000000"/>
    </w:rPr>
  </w:style>
  <w:style w:type="character" w:styleId="annotation reference">
    <w:name w:val="annotation reference"/>
    <w:basedOn w:val="Default Paragraph Font"/>
    <w:pPr/>
    <w:rPr>
      <w:sz w:val="16"/>
    </w:rPr>
  </w:style>
  <w:style w:type="paragraph" w:styleId="annotation subject">
    <w:name w:val="annotation subject"/>
    <w:basedOn w:val="annotation text"/>
    <w:next w:val="annotation text"/>
    <w:pPr/>
    <w:rPr>
      <w:b/>
    </w:rPr>
  </w:style>
  <w:style w:type="paragraph" w:styleId="annotation text">
    <w:name w:val="annotation text"/>
    <w:basedOn w:val="_Normal"/>
    <w:pPr/>
    <w:rPr>
      <w:sz w:val="20"/>
    </w:rPr>
  </w:style>
  <w:style w:type="paragraph" w:styleId="caption">
    <w:name w:val="caption"/>
    <w:basedOn w:val="_Normal"/>
    <w:pPr>
      <w:spacing w:after="120"/>
      <w:spacing w:before="120"/>
    </w:pPr>
    <w:rPr>
      <w:i/>
      <w:rFonts w:ascii="FreeSans" w:cs="FreeSans" w:hAnsi="FreeSan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/Relationships>
</file>